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26" w:rsidRDefault="00515B26" w:rsidP="00515B26">
      <w:pPr>
        <w:spacing w:line="276" w:lineRule="auto"/>
        <w:ind w:firstLine="0"/>
        <w:jc w:val="center"/>
        <w:rPr>
          <w:rFonts w:ascii="Times New Roman" w:eastAsia="Calibri" w:hAnsi="Times New Roman" w:cs="Times New Roman"/>
          <w:b/>
          <w:color w:val="auto"/>
          <w:sz w:val="32"/>
          <w:szCs w:val="32"/>
          <w:lang w:eastAsia="en-US"/>
        </w:rPr>
      </w:pPr>
      <w:bookmarkStart w:id="0" w:name="_Toc121721444"/>
      <w:bookmarkStart w:id="1" w:name="_Toc121721108"/>
      <w:r>
        <w:rPr>
          <w:rFonts w:ascii="Times New Roman" w:eastAsia="Calibri" w:hAnsi="Times New Roman" w:cs="Times New Roman"/>
          <w:b/>
          <w:color w:val="auto"/>
          <w:sz w:val="32"/>
          <w:szCs w:val="32"/>
          <w:lang w:eastAsia="en-US"/>
        </w:rPr>
        <w:t xml:space="preserve">Примерный перечень вопросов и практико-ориентированных заданий к государственному экзамену для студентов очной формы обучения, обучающихся по направлению </w:t>
      </w:r>
    </w:p>
    <w:p w:rsidR="00515B26" w:rsidRDefault="00515B26" w:rsidP="00515B26">
      <w:pPr>
        <w:spacing w:line="276" w:lineRule="auto"/>
        <w:ind w:firstLine="0"/>
        <w:jc w:val="center"/>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t xml:space="preserve">38.04.01«Экономика», </w:t>
      </w:r>
    </w:p>
    <w:p w:rsidR="00515B26" w:rsidRDefault="00515B26" w:rsidP="00515B26">
      <w:pPr>
        <w:spacing w:line="276" w:lineRule="auto"/>
        <w:ind w:firstLine="0"/>
        <w:jc w:val="center"/>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t>направленность программы «Бизнес-аналитика»</w:t>
      </w:r>
    </w:p>
    <w:p w:rsidR="00515B26" w:rsidRDefault="00515B26" w:rsidP="00515B26">
      <w:pPr>
        <w:pStyle w:val="Standard"/>
        <w:widowControl w:val="0"/>
        <w:suppressAutoHyphens w:val="0"/>
        <w:spacing w:after="0" w:line="240" w:lineRule="auto"/>
        <w:jc w:val="both"/>
        <w:outlineLvl w:val="0"/>
        <w:rPr>
          <w:rFonts w:ascii="Times New Roman" w:eastAsia="Times New Roman" w:hAnsi="Times New Roman" w:cs="Times New Roman"/>
          <w:b/>
          <w:sz w:val="28"/>
          <w:szCs w:val="28"/>
          <w:lang w:eastAsia="ru-RU"/>
        </w:rPr>
      </w:pPr>
    </w:p>
    <w:bookmarkEnd w:id="0"/>
    <w:bookmarkEnd w:id="1"/>
    <w:p w:rsidR="004F23D0" w:rsidRDefault="004F23D0" w:rsidP="004F23D0">
      <w:pPr>
        <w:pStyle w:val="Standard"/>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Вопросы на основе содержания общепрофессиональных и профессиональных дисциплин направления подготовки</w:t>
      </w:r>
    </w:p>
    <w:p w:rsidR="004F23D0" w:rsidRDefault="004F23D0" w:rsidP="004F23D0">
      <w:pPr>
        <w:pStyle w:val="a3"/>
        <w:numPr>
          <w:ilvl w:val="0"/>
          <w:numId w:val="2"/>
        </w:numPr>
        <w:tabs>
          <w:tab w:val="left" w:pos="345"/>
        </w:tabs>
        <w:spacing w:after="0" w:line="240" w:lineRule="auto"/>
        <w:ind w:left="0" w:right="0" w:firstLine="0"/>
        <w:rPr>
          <w:szCs w:val="28"/>
        </w:rPr>
      </w:pPr>
      <w:r>
        <w:rPr>
          <w:szCs w:val="28"/>
        </w:rPr>
        <w:t>Экономический рост и экономическое развитие: понятия и содержание, проблема измерения и индикаторы.</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Технический прогресс и его роль в экономическом развитии: теория цикличного развития, концепция технологических укладов.</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Периодизация промышленных революций, сущность и особенности «четвертой промышленной революции».</w:t>
      </w:r>
    </w:p>
    <w:p w:rsidR="004F23D0" w:rsidRDefault="004F23D0" w:rsidP="004F23D0">
      <w:pPr>
        <w:pStyle w:val="a3"/>
        <w:numPr>
          <w:ilvl w:val="0"/>
          <w:numId w:val="1"/>
        </w:numPr>
        <w:tabs>
          <w:tab w:val="left" w:pos="345"/>
        </w:tabs>
        <w:spacing w:after="0" w:line="240" w:lineRule="auto"/>
        <w:ind w:left="0" w:right="0" w:firstLine="0"/>
      </w:pPr>
      <w:r>
        <w:rPr>
          <w:szCs w:val="28"/>
        </w:rPr>
        <w:t>Смена технологических укладов в процессе долгосрочного развития мировой и российской экономик.</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Ядро и ключевой фактор технологического уклада. Шестой технологический уклад.</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Технологические инновации и социальные изменения. Инновационный процесс как творческое разрушение, преодоление силы инерции и сопротивления среды.</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 xml:space="preserve">Основы теории экономического развития Й. </w:t>
      </w:r>
      <w:proofErr w:type="spellStart"/>
      <w:r>
        <w:rPr>
          <w:szCs w:val="28"/>
        </w:rPr>
        <w:t>Шумпетера</w:t>
      </w:r>
      <w:proofErr w:type="spellEnd"/>
      <w:r>
        <w:rPr>
          <w:szCs w:val="28"/>
        </w:rPr>
        <w:t>, включая его взгляды на предпринимательство и инновации.</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Информация и знания в социально-экономическом развитии общества.    Экономика знаний. Интеллектуальный капитал в экономическом росте страны.</w:t>
      </w:r>
    </w:p>
    <w:p w:rsidR="004F23D0" w:rsidRDefault="004F23D0" w:rsidP="004F23D0">
      <w:pPr>
        <w:pStyle w:val="a3"/>
        <w:numPr>
          <w:ilvl w:val="0"/>
          <w:numId w:val="1"/>
        </w:numPr>
        <w:tabs>
          <w:tab w:val="left" w:pos="345"/>
        </w:tabs>
        <w:spacing w:after="0" w:line="240" w:lineRule="auto"/>
        <w:ind w:left="0" w:right="0" w:firstLine="0"/>
        <w:rPr>
          <w:szCs w:val="28"/>
        </w:rPr>
      </w:pPr>
      <w:r>
        <w:rPr>
          <w:szCs w:val="28"/>
        </w:rPr>
        <w:t>Применение цифровых технологий в управлении развитием экономики.</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Роль государства в обеспечении инноваций, условия и инфраструктура инновационной деятельности.</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Модель эндогенного развития экономики, технологий и роста населения.</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 xml:space="preserve">Модели «порочного круга нищеты»: «порочный круг» нехватки капитала по Р. </w:t>
      </w:r>
      <w:proofErr w:type="spellStart"/>
      <w:r>
        <w:rPr>
          <w:szCs w:val="28"/>
        </w:rPr>
        <w:t>Нурксе</w:t>
      </w:r>
      <w:proofErr w:type="spellEnd"/>
      <w:r>
        <w:rPr>
          <w:szCs w:val="28"/>
        </w:rPr>
        <w:t>, «порочный круг» политической нестабильности.</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 xml:space="preserve">Концепция "порочного круга нищеты": теория квазистабильного равновесия Х. </w:t>
      </w:r>
      <w:proofErr w:type="spellStart"/>
      <w:r>
        <w:rPr>
          <w:szCs w:val="28"/>
        </w:rPr>
        <w:t>Лейбенстайна</w:t>
      </w:r>
      <w:proofErr w:type="spellEnd"/>
      <w:r>
        <w:rPr>
          <w:szCs w:val="28"/>
        </w:rPr>
        <w:t>.</w:t>
      </w:r>
    </w:p>
    <w:p w:rsidR="004F23D0" w:rsidRDefault="004F23D0" w:rsidP="004F23D0">
      <w:pPr>
        <w:pStyle w:val="a3"/>
        <w:numPr>
          <w:ilvl w:val="0"/>
          <w:numId w:val="1"/>
        </w:numPr>
        <w:tabs>
          <w:tab w:val="left" w:pos="450"/>
        </w:tabs>
        <w:spacing w:after="0" w:line="240" w:lineRule="auto"/>
        <w:ind w:left="0" w:right="0" w:firstLine="0"/>
        <w:jc w:val="left"/>
        <w:rPr>
          <w:szCs w:val="28"/>
        </w:rPr>
      </w:pPr>
      <w:r>
        <w:rPr>
          <w:szCs w:val="28"/>
        </w:rPr>
        <w:t xml:space="preserve">Концепция перехода к самоподдерживающемуся росту У. </w:t>
      </w:r>
      <w:proofErr w:type="spellStart"/>
      <w:r>
        <w:rPr>
          <w:szCs w:val="28"/>
        </w:rPr>
        <w:t>Ростоу</w:t>
      </w:r>
      <w:proofErr w:type="spellEnd"/>
      <w:r>
        <w:rPr>
          <w:szCs w:val="28"/>
        </w:rPr>
        <w:t>.</w:t>
      </w:r>
    </w:p>
    <w:p w:rsidR="004F23D0" w:rsidRDefault="004F23D0" w:rsidP="004F23D0">
      <w:pPr>
        <w:pStyle w:val="a3"/>
        <w:numPr>
          <w:ilvl w:val="0"/>
          <w:numId w:val="1"/>
        </w:numPr>
        <w:tabs>
          <w:tab w:val="left" w:pos="450"/>
        </w:tabs>
        <w:spacing w:after="0" w:line="240" w:lineRule="auto"/>
        <w:ind w:left="0" w:right="0" w:firstLine="0"/>
      </w:pPr>
      <w:r>
        <w:rPr>
          <w:szCs w:val="28"/>
        </w:rPr>
        <w:t xml:space="preserve">Предпосылки и основное содержание модели экономического роста </w:t>
      </w:r>
      <w:proofErr w:type="spellStart"/>
      <w:r>
        <w:rPr>
          <w:szCs w:val="28"/>
        </w:rPr>
        <w:t>Солоу</w:t>
      </w:r>
      <w:proofErr w:type="spellEnd"/>
      <w:r>
        <w:rPr>
          <w:szCs w:val="28"/>
        </w:rPr>
        <w:t>. Роль сбережений, инвестиций, демографических изменений и технического прогресса.</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Институты и структура стимулов экономического роста. Устойчивые права собственности и «длинные правила» как условие роста.</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Экстрактивные и инклюзивные экономические институты, и их влияние на экономический рост. Распределение экономической власти и источники доходов.</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lastRenderedPageBreak/>
        <w:t>Трансформации институтов как фундаментальное условие экономического развития: «институциональная ловушка», «импорт» и «выращивание» институтов.</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Экономическая природа институтов и их роль как условия экономического роста.</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Проблема взаимодействия технологий и институтов, их роль в создании условий инновационной деятельности.</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Сравнительный анализ шоковой терапии и градуализма как двух стратегий экономических реформ.</w:t>
      </w:r>
    </w:p>
    <w:p w:rsidR="004F23D0" w:rsidRDefault="004F23D0" w:rsidP="00515B26">
      <w:pPr>
        <w:pStyle w:val="a3"/>
        <w:numPr>
          <w:ilvl w:val="0"/>
          <w:numId w:val="1"/>
        </w:numPr>
        <w:tabs>
          <w:tab w:val="left" w:pos="0"/>
        </w:tabs>
        <w:spacing w:after="0" w:line="240" w:lineRule="auto"/>
        <w:ind w:left="0" w:right="0" w:firstLine="0"/>
        <w:rPr>
          <w:szCs w:val="28"/>
        </w:rPr>
      </w:pPr>
      <w:r>
        <w:rPr>
          <w:szCs w:val="28"/>
        </w:rPr>
        <w:t>Влияние человеческого капитала на экономическое развитие. Национальный и индивидуальный человеческий капитал. Человеческий капитал как главный фактор инновационной экономики.</w:t>
      </w:r>
    </w:p>
    <w:p w:rsidR="004F23D0" w:rsidRDefault="004F23D0" w:rsidP="004F23D0">
      <w:pPr>
        <w:pStyle w:val="a3"/>
        <w:numPr>
          <w:ilvl w:val="0"/>
          <w:numId w:val="1"/>
        </w:numPr>
        <w:tabs>
          <w:tab w:val="left" w:pos="450"/>
        </w:tabs>
        <w:spacing w:after="0" w:line="240" w:lineRule="auto"/>
        <w:ind w:left="0" w:right="0" w:firstLine="0"/>
      </w:pPr>
      <w:r>
        <w:rPr>
          <w:szCs w:val="28"/>
        </w:rPr>
        <w:t>Культурные, психологические и социальные факторы экономического роста. Культурное разнообразие (этническое, лингвистическое, религиозное) и экономическое развитие. Культурный капитал.</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Программы экономического роста в современной России.</w:t>
      </w:r>
    </w:p>
    <w:p w:rsidR="004F23D0" w:rsidRDefault="004F23D0" w:rsidP="004F23D0">
      <w:pPr>
        <w:pStyle w:val="a3"/>
        <w:numPr>
          <w:ilvl w:val="0"/>
          <w:numId w:val="1"/>
        </w:numPr>
        <w:tabs>
          <w:tab w:val="left" w:pos="450"/>
        </w:tabs>
        <w:spacing w:after="0" w:line="240" w:lineRule="auto"/>
        <w:ind w:left="0" w:right="0" w:firstLine="0"/>
        <w:rPr>
          <w:szCs w:val="28"/>
        </w:rPr>
      </w:pPr>
      <w:r>
        <w:rPr>
          <w:szCs w:val="28"/>
        </w:rPr>
        <w:t>Проблемы инноваций и феномена предпринимательства в России на современном этапе.</w:t>
      </w:r>
    </w:p>
    <w:p w:rsidR="007D56F8" w:rsidRDefault="007D56F8"/>
    <w:p w:rsidR="004F23D0" w:rsidRDefault="004F23D0" w:rsidP="004F23D0">
      <w:pPr>
        <w:pStyle w:val="a3"/>
        <w:numPr>
          <w:ilvl w:val="1"/>
          <w:numId w:val="3"/>
        </w:numPr>
        <w:spacing w:after="0" w:line="240" w:lineRule="auto"/>
        <w:ind w:left="0" w:right="0" w:firstLine="0"/>
        <w:rPr>
          <w:b/>
          <w:color w:val="auto"/>
          <w:szCs w:val="28"/>
        </w:rPr>
      </w:pPr>
      <w:r>
        <w:rPr>
          <w:b/>
          <w:color w:val="auto"/>
          <w:szCs w:val="28"/>
        </w:rPr>
        <w:t>Вопросы на основе содержания профиля «Бизнес-аналитика»</w:t>
      </w:r>
    </w:p>
    <w:p w:rsidR="004F23D0" w:rsidRDefault="004F23D0" w:rsidP="004F23D0">
      <w:pPr>
        <w:pStyle w:val="a3"/>
        <w:spacing w:after="0" w:line="240" w:lineRule="auto"/>
        <w:ind w:left="0" w:right="0" w:firstLine="0"/>
        <w:rPr>
          <w:b/>
          <w:color w:val="auto"/>
          <w:szCs w:val="28"/>
        </w:rPr>
      </w:pPr>
    </w:p>
    <w:p w:rsidR="004F23D0" w:rsidRPr="00866A2C" w:rsidRDefault="004F23D0" w:rsidP="004F23D0">
      <w:pPr>
        <w:pStyle w:val="Standard"/>
        <w:tabs>
          <w:tab w:val="left" w:pos="284"/>
        </w:tabs>
        <w:spacing w:after="0" w:line="240" w:lineRule="auto"/>
        <w:jc w:val="both"/>
      </w:pPr>
      <w:r>
        <w:rPr>
          <w:rStyle w:val="markedcontent"/>
          <w:rFonts w:ascii="Times New Roman" w:hAnsi="Times New Roman" w:cs="Times New Roman"/>
          <w:sz w:val="28"/>
          <w:szCs w:val="28"/>
        </w:rPr>
        <w:t>1. Бизнес-</w:t>
      </w:r>
      <w:r w:rsidRPr="00866A2C">
        <w:rPr>
          <w:rStyle w:val="markedcontent"/>
          <w:rFonts w:ascii="Times New Roman" w:hAnsi="Times New Roman" w:cs="Times New Roman"/>
          <w:sz w:val="28"/>
          <w:szCs w:val="28"/>
        </w:rPr>
        <w:t>анализ как закономерный этап эволюции комплексного экономического анализа.</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 xml:space="preserve">2. Сущность </w:t>
      </w:r>
      <w:proofErr w:type="spellStart"/>
      <w:r w:rsidRPr="00866A2C">
        <w:rPr>
          <w:rStyle w:val="markedcontent"/>
          <w:rFonts w:ascii="Times New Roman" w:hAnsi="Times New Roman" w:cs="Times New Roman"/>
          <w:sz w:val="28"/>
          <w:szCs w:val="28"/>
        </w:rPr>
        <w:t>стейкхолдерского</w:t>
      </w:r>
      <w:proofErr w:type="spellEnd"/>
      <w:r w:rsidRPr="00866A2C">
        <w:rPr>
          <w:rStyle w:val="markedcontent"/>
          <w:rFonts w:ascii="Times New Roman" w:hAnsi="Times New Roman" w:cs="Times New Roman"/>
          <w:sz w:val="28"/>
          <w:szCs w:val="28"/>
        </w:rPr>
        <w:t xml:space="preserve"> подхода к анализу бизнеса.</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 xml:space="preserve">3. </w:t>
      </w:r>
      <w:r w:rsidRPr="00CA668E">
        <w:rPr>
          <w:rStyle w:val="markedcontent"/>
          <w:rFonts w:ascii="Times New Roman" w:hAnsi="Times New Roman" w:cs="Times New Roman"/>
          <w:sz w:val="28"/>
          <w:szCs w:val="28"/>
        </w:rPr>
        <w:t>Заинтересованные стороны коммерческой организации: состав групп и типы требований.</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 xml:space="preserve">4. Роль бизнес-аналитика в обосновании и разработке </w:t>
      </w:r>
      <w:proofErr w:type="spellStart"/>
      <w:r w:rsidRPr="00866A2C">
        <w:rPr>
          <w:rStyle w:val="markedcontent"/>
          <w:rFonts w:ascii="Times New Roman" w:hAnsi="Times New Roman" w:cs="Times New Roman"/>
          <w:sz w:val="28"/>
          <w:szCs w:val="28"/>
        </w:rPr>
        <w:t>инновационно</w:t>
      </w:r>
      <w:proofErr w:type="spellEnd"/>
      <w:r w:rsidRPr="00866A2C">
        <w:rPr>
          <w:rStyle w:val="markedcontent"/>
          <w:rFonts w:ascii="Times New Roman" w:hAnsi="Times New Roman" w:cs="Times New Roman"/>
          <w:sz w:val="28"/>
          <w:szCs w:val="28"/>
        </w:rPr>
        <w:t>-инвестиционных проектов.</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5. Принципы классификации и выделения круга ключевых</w:t>
      </w:r>
      <w:r w:rsidRPr="00866A2C">
        <w:rPr>
          <w:rFonts w:ascii="Times New Roman" w:hAnsi="Times New Roman" w:cs="Times New Roman"/>
          <w:sz w:val="28"/>
          <w:szCs w:val="28"/>
        </w:rPr>
        <w:t xml:space="preserve"> </w:t>
      </w:r>
      <w:r w:rsidRPr="00866A2C">
        <w:rPr>
          <w:rStyle w:val="markedcontent"/>
          <w:rFonts w:ascii="Times New Roman" w:hAnsi="Times New Roman" w:cs="Times New Roman"/>
          <w:sz w:val="28"/>
          <w:szCs w:val="28"/>
        </w:rPr>
        <w:t>заинтересованных сторон организации.</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6. Выявление и анализ требований заинтересованных сторон организации.</w:t>
      </w:r>
    </w:p>
    <w:p w:rsidR="004F23D0" w:rsidRPr="00866A2C" w:rsidRDefault="004F23D0" w:rsidP="004F23D0">
      <w:pPr>
        <w:pStyle w:val="Standard"/>
        <w:spacing w:after="0" w:line="240" w:lineRule="auto"/>
        <w:jc w:val="both"/>
      </w:pPr>
      <w:r w:rsidRPr="00866A2C">
        <w:rPr>
          <w:rStyle w:val="markedcontent"/>
          <w:rFonts w:ascii="Times New Roman" w:hAnsi="Times New Roman" w:cs="Times New Roman"/>
          <w:sz w:val="28"/>
          <w:szCs w:val="28"/>
        </w:rPr>
        <w:t>7. Анализ бизнес-возможностей организации.</w:t>
      </w:r>
    </w:p>
    <w:p w:rsidR="004F23D0" w:rsidRPr="00866A2C" w:rsidRDefault="004F23D0" w:rsidP="004F23D0">
      <w:pPr>
        <w:pStyle w:val="Standard"/>
        <w:spacing w:after="0" w:line="240" w:lineRule="auto"/>
        <w:jc w:val="both"/>
      </w:pPr>
      <w:r w:rsidRPr="00CA668E">
        <w:rPr>
          <w:rStyle w:val="markedcontent"/>
          <w:rFonts w:ascii="Times New Roman" w:hAnsi="Times New Roman" w:cs="Times New Roman"/>
          <w:sz w:val="28"/>
          <w:szCs w:val="28"/>
        </w:rPr>
        <w:t>8. Методика выявления проблем бизнеса: измерение масштаба и обоснование путей преодоления.</w:t>
      </w:r>
    </w:p>
    <w:p w:rsidR="004F23D0" w:rsidRPr="00866A2C" w:rsidRDefault="004F23D0" w:rsidP="004F23D0">
      <w:pPr>
        <w:pStyle w:val="Standard"/>
        <w:tabs>
          <w:tab w:val="left" w:pos="510"/>
        </w:tabs>
        <w:spacing w:after="0" w:line="240" w:lineRule="auto"/>
        <w:jc w:val="both"/>
      </w:pPr>
      <w:r w:rsidRPr="00866A2C">
        <w:rPr>
          <w:rStyle w:val="markedcontent"/>
          <w:rFonts w:ascii="Times New Roman" w:hAnsi="Times New Roman" w:cs="Times New Roman"/>
          <w:sz w:val="28"/>
          <w:szCs w:val="28"/>
        </w:rPr>
        <w:t>9. Бизнес-процессы, задачи их моделирования и показатели для их анализа.</w:t>
      </w:r>
      <w:r w:rsidRPr="00866A2C">
        <w:rPr>
          <w:rFonts w:ascii="Times New Roman" w:hAnsi="Times New Roman" w:cs="Times New Roman"/>
          <w:sz w:val="28"/>
          <w:szCs w:val="28"/>
        </w:rPr>
        <w:br/>
      </w:r>
      <w:r w:rsidRPr="00866A2C">
        <w:rPr>
          <w:rStyle w:val="markedcontent"/>
          <w:rFonts w:ascii="Times New Roman" w:hAnsi="Times New Roman" w:cs="Times New Roman"/>
          <w:sz w:val="28"/>
          <w:szCs w:val="28"/>
        </w:rPr>
        <w:t>10. Бизнес-модель коммерческой организации и задачи ее анализа.</w:t>
      </w:r>
    </w:p>
    <w:p w:rsidR="004F23D0" w:rsidRPr="00866A2C" w:rsidRDefault="004F23D0" w:rsidP="004F23D0">
      <w:pPr>
        <w:pStyle w:val="Standard"/>
        <w:tabs>
          <w:tab w:val="left" w:pos="510"/>
        </w:tabs>
        <w:spacing w:after="0" w:line="240" w:lineRule="auto"/>
        <w:jc w:val="both"/>
      </w:pPr>
      <w:r w:rsidRPr="00866A2C">
        <w:rPr>
          <w:rStyle w:val="markedcontent"/>
          <w:rFonts w:ascii="Times New Roman" w:hAnsi="Times New Roman" w:cs="Times New Roman"/>
          <w:sz w:val="28"/>
          <w:szCs w:val="28"/>
        </w:rPr>
        <w:t>11. Соотношение бизнес-модели организации и ее стратегии.</w:t>
      </w:r>
    </w:p>
    <w:p w:rsidR="004F23D0" w:rsidRDefault="004F23D0" w:rsidP="004F23D0">
      <w:pPr>
        <w:pStyle w:val="Standard"/>
        <w:tabs>
          <w:tab w:val="left" w:pos="510"/>
        </w:tabs>
        <w:spacing w:after="0" w:line="240" w:lineRule="auto"/>
        <w:jc w:val="both"/>
        <w:rPr>
          <w:rFonts w:ascii="Times New Roman" w:eastAsia="Times New Roman" w:hAnsi="Times New Roman" w:cs="Times New Roman"/>
          <w:sz w:val="28"/>
          <w:szCs w:val="28"/>
          <w:lang w:eastAsia="ru-RU"/>
        </w:rPr>
      </w:pPr>
      <w:r w:rsidRPr="00866A2C">
        <w:rPr>
          <w:rFonts w:ascii="Times New Roman" w:eastAsia="Times New Roman" w:hAnsi="Times New Roman" w:cs="Times New Roman"/>
          <w:sz w:val="28"/>
          <w:szCs w:val="28"/>
          <w:lang w:eastAsia="ru-RU"/>
        </w:rPr>
        <w:t>12. Связь и различия экономического бизнес-анализа и информационной бизнес-аналитики.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Трудовые функции бизнес-аналитика и профессиональный стандарт «Бизнес-аналитик».</w:t>
      </w:r>
      <w:r>
        <w:rPr>
          <w:rFonts w:ascii="Times New Roman" w:eastAsia="Times New Roman" w:hAnsi="Times New Roman" w:cs="Times New Roman"/>
          <w:sz w:val="28"/>
          <w:szCs w:val="28"/>
          <w:lang w:eastAsia="ru-RU"/>
        </w:rPr>
        <w:br/>
        <w:t>14. Роль бизнес-анализа в обеспечении условий устойчивого развития</w:t>
      </w:r>
      <w:r>
        <w:rPr>
          <w:rFonts w:ascii="Times New Roman" w:eastAsia="Times New Roman" w:hAnsi="Times New Roman" w:cs="Times New Roman"/>
          <w:sz w:val="28"/>
          <w:szCs w:val="28"/>
          <w:lang w:eastAsia="ru-RU"/>
        </w:rPr>
        <w:br/>
        <w:t>экономических субъектов.</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 Анализ финансовой устойчивости и установление границ собственного капитала организации.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Анализ показателей деловой активности организации.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Факторный анализ прибыли от продаж и чистой прибыли организации.</w:t>
      </w:r>
      <w:r>
        <w:rPr>
          <w:rFonts w:ascii="Times New Roman" w:eastAsia="Times New Roman" w:hAnsi="Times New Roman" w:cs="Times New Roman"/>
          <w:sz w:val="28"/>
          <w:szCs w:val="28"/>
          <w:lang w:eastAsia="ru-RU"/>
        </w:rPr>
        <w:br/>
        <w:t>18. Анализ показателей рентабельности коммерческой организации.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Анализ платежеспособности коммерческой организации.</w:t>
      </w:r>
    </w:p>
    <w:p w:rsidR="004F23D0" w:rsidRDefault="004F23D0" w:rsidP="004F23D0">
      <w:pPr>
        <w:pStyle w:val="Standard"/>
        <w:tabs>
          <w:tab w:val="left" w:pos="4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Анализ движения денежных средств и его роль в оценке</w:t>
      </w:r>
      <w:r>
        <w:rPr>
          <w:rFonts w:ascii="Times New Roman" w:eastAsia="Times New Roman" w:hAnsi="Times New Roman" w:cs="Times New Roman"/>
          <w:sz w:val="28"/>
          <w:szCs w:val="28"/>
          <w:lang w:eastAsia="ru-RU"/>
        </w:rPr>
        <w:br/>
        <w:t>финансового состояния организации.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Анализ структуры, состояния и движения капитала организации.</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Сущность </w:t>
      </w:r>
      <w:proofErr w:type="spellStart"/>
      <w:r>
        <w:rPr>
          <w:rFonts w:ascii="Times New Roman" w:eastAsia="Times New Roman" w:hAnsi="Times New Roman" w:cs="Times New Roman"/>
          <w:sz w:val="28"/>
          <w:szCs w:val="28"/>
          <w:lang w:eastAsia="ru-RU"/>
        </w:rPr>
        <w:t>контроллинга</w:t>
      </w:r>
      <w:proofErr w:type="spellEnd"/>
      <w:r>
        <w:rPr>
          <w:rFonts w:ascii="Times New Roman" w:eastAsia="Times New Roman" w:hAnsi="Times New Roman" w:cs="Times New Roman"/>
          <w:sz w:val="28"/>
          <w:szCs w:val="28"/>
          <w:lang w:eastAsia="ru-RU"/>
        </w:rPr>
        <w:t xml:space="preserve"> и его роль в управлении коммерческой</w:t>
      </w:r>
      <w:r>
        <w:rPr>
          <w:rFonts w:ascii="Times New Roman" w:eastAsia="Times New Roman" w:hAnsi="Times New Roman" w:cs="Times New Roman"/>
          <w:sz w:val="28"/>
          <w:szCs w:val="28"/>
          <w:lang w:eastAsia="ru-RU"/>
        </w:rPr>
        <w:br/>
        <w:t>организацией.</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Эффективность бизнеса как объект оценки и управления. Инструменты измерения эффективности бизнеса.</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Операционный анализ как одно из направлений управленческого</w:t>
      </w:r>
      <w:r>
        <w:rPr>
          <w:rFonts w:ascii="Times New Roman" w:eastAsia="Times New Roman" w:hAnsi="Times New Roman" w:cs="Times New Roman"/>
          <w:sz w:val="28"/>
          <w:szCs w:val="28"/>
          <w:lang w:eastAsia="ru-RU"/>
        </w:rPr>
        <w:br/>
        <w:t>анализа и его связь с бизнес-анализом.</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Аналитическая взаимосвязь критического объема продаж, запаса финансовой прочности и операционного рычага.</w:t>
      </w:r>
    </w:p>
    <w:p w:rsidR="004F23D0" w:rsidRDefault="004F23D0" w:rsidP="004F23D0">
      <w:pPr>
        <w:pStyle w:val="Standard"/>
        <w:spacing w:after="0" w:line="240" w:lineRule="auto"/>
        <w:jc w:val="both"/>
        <w:rPr>
          <w:rFonts w:ascii="Times New Roman" w:eastAsia="Times New Roman" w:hAnsi="Times New Roman" w:cs="Times New Roman"/>
          <w:sz w:val="28"/>
          <w:szCs w:val="28"/>
          <w:lang w:eastAsia="ru-RU"/>
        </w:rPr>
      </w:pPr>
    </w:p>
    <w:p w:rsidR="00515B26" w:rsidRPr="00EA32AE" w:rsidRDefault="00515B26" w:rsidP="00515B26">
      <w:pPr>
        <w:widowControl w:val="0"/>
        <w:ind w:firstLine="0"/>
        <w:jc w:val="center"/>
        <w:outlineLvl w:val="0"/>
        <w:rPr>
          <w:rFonts w:ascii="Times New Roman" w:eastAsia="Times New Roman" w:hAnsi="Times New Roman" w:cs="Times New Roman"/>
          <w:b/>
          <w:color w:val="auto"/>
          <w:sz w:val="28"/>
          <w:szCs w:val="28"/>
        </w:rPr>
      </w:pPr>
      <w:r w:rsidRPr="00EA32AE">
        <w:rPr>
          <w:rFonts w:ascii="Times New Roman" w:eastAsia="Times New Roman" w:hAnsi="Times New Roman" w:cs="Times New Roman"/>
          <w:b/>
          <w:color w:val="auto"/>
          <w:sz w:val="28"/>
          <w:szCs w:val="28"/>
        </w:rPr>
        <w:t>Примеры практико-ориентированных заданий</w:t>
      </w:r>
    </w:p>
    <w:p w:rsidR="00515B26" w:rsidRPr="006D6A7F" w:rsidRDefault="00515B26" w:rsidP="00515B26">
      <w:pPr>
        <w:widowControl w:val="0"/>
        <w:spacing w:line="276" w:lineRule="auto"/>
        <w:jc w:val="both"/>
        <w:outlineLvl w:val="0"/>
        <w:rPr>
          <w:rFonts w:ascii="Times New Roman" w:eastAsia="Times New Roman" w:hAnsi="Times New Roman" w:cs="Times New Roman"/>
          <w:b/>
          <w:color w:val="auto"/>
          <w:sz w:val="16"/>
          <w:szCs w:val="28"/>
        </w:rPr>
      </w:pPr>
    </w:p>
    <w:p w:rsidR="00515B26" w:rsidRPr="00EA32AE" w:rsidRDefault="00515B26" w:rsidP="00515B26">
      <w:pPr>
        <w:widowControl w:val="0"/>
        <w:jc w:val="both"/>
        <w:outlineLvl w:val="0"/>
        <w:rPr>
          <w:rFonts w:ascii="Times New Roman" w:eastAsia="Times New Roman" w:hAnsi="Times New Roman" w:cs="Times New Roman"/>
          <w:b/>
          <w:color w:val="auto"/>
          <w:sz w:val="28"/>
          <w:szCs w:val="28"/>
        </w:rPr>
      </w:pPr>
      <w:r w:rsidRPr="00EA32AE">
        <w:rPr>
          <w:rFonts w:ascii="Times New Roman" w:eastAsia="Times New Roman" w:hAnsi="Times New Roman" w:cs="Times New Roman"/>
          <w:b/>
          <w:color w:val="auto"/>
          <w:sz w:val="28"/>
          <w:szCs w:val="28"/>
        </w:rPr>
        <w:t>Задание 1.</w:t>
      </w:r>
    </w:p>
    <w:p w:rsidR="00515B26" w:rsidRPr="00EA32AE" w:rsidRDefault="00515B26" w:rsidP="00515B26">
      <w:pPr>
        <w:widowControl w:val="0"/>
        <w:autoSpaceDE w:val="0"/>
        <w:autoSpaceDN w:val="0"/>
        <w:adjustRightInd w:val="0"/>
        <w:jc w:val="both"/>
        <w:rPr>
          <w:rFonts w:ascii="Times New Roman" w:eastAsia="Times New Roman" w:hAnsi="Times New Roman" w:cs="Times New Roman"/>
          <w:color w:val="auto"/>
          <w:sz w:val="28"/>
          <w:szCs w:val="28"/>
        </w:rPr>
      </w:pPr>
      <w:r w:rsidRPr="00EA32AE">
        <w:rPr>
          <w:rFonts w:ascii="Times New Roman" w:eastAsia="Times New Roman" w:hAnsi="Times New Roman" w:cs="Times New Roman"/>
          <w:color w:val="auto"/>
          <w:sz w:val="28"/>
          <w:szCs w:val="28"/>
        </w:rPr>
        <w:t>Акционеры АО «Прогресс», ориентируясь на сложившийся в данном секторе рынка уровень рентабельности собственного капитала, поставили на своем годовом собрании перед менеджментом компании задачу в ближайшее время довести уровень этого показателя до 38%. Только при этом условии они согласны в будущем году рассмотреть вопрос о возможности разработки и последующей реализации крупного инвестиционного проекта, связанного с внедрением инновационной технологии и существенным увеличением производственных мощностей компании.</w:t>
      </w:r>
    </w:p>
    <w:p w:rsidR="00515B26" w:rsidRPr="00EA32AE" w:rsidRDefault="00515B26" w:rsidP="00515B26">
      <w:pPr>
        <w:widowControl w:val="0"/>
        <w:autoSpaceDE w:val="0"/>
        <w:autoSpaceDN w:val="0"/>
        <w:adjustRightInd w:val="0"/>
        <w:jc w:val="both"/>
        <w:rPr>
          <w:rFonts w:ascii="Times New Roman" w:eastAsia="Times New Roman" w:hAnsi="Times New Roman" w:cs="Times New Roman"/>
          <w:color w:val="auto"/>
          <w:sz w:val="28"/>
          <w:szCs w:val="28"/>
        </w:rPr>
      </w:pPr>
      <w:r w:rsidRPr="00EA32AE">
        <w:rPr>
          <w:rFonts w:ascii="Times New Roman" w:eastAsia="Times New Roman" w:hAnsi="Times New Roman" w:cs="Times New Roman"/>
          <w:color w:val="auto"/>
          <w:sz w:val="28"/>
          <w:szCs w:val="28"/>
        </w:rPr>
        <w:t>Среднегодов</w:t>
      </w:r>
      <w:r>
        <w:rPr>
          <w:rFonts w:ascii="Times New Roman" w:eastAsia="Times New Roman" w:hAnsi="Times New Roman" w:cs="Times New Roman"/>
          <w:color w:val="auto"/>
          <w:sz w:val="28"/>
          <w:szCs w:val="28"/>
        </w:rPr>
        <w:t xml:space="preserve">ая сумма собственного капитала </w:t>
      </w:r>
      <w:r w:rsidRPr="00EA32AE">
        <w:rPr>
          <w:rFonts w:ascii="Times New Roman" w:eastAsia="Times New Roman" w:hAnsi="Times New Roman" w:cs="Times New Roman"/>
          <w:color w:val="auto"/>
          <w:sz w:val="28"/>
          <w:szCs w:val="28"/>
        </w:rPr>
        <w:t xml:space="preserve">АО равна 150 млн. руб. При этом налоговые, ценовые, технологические и сырьевые ограничения, а также конъюнктура на товарном рынке обусловливают невозможность без осуществления масштабных и долгосрочных инвестиционных проектов по внедрению принципиально новых технологий и расширению производственных площадей добиться реального увеличения фактически достигнутого данной компанией уровня рентабельности продаж – 18% (исчисляемого как отношение чистой прибыли к выручке от продаж). </w:t>
      </w:r>
      <w:r w:rsidRPr="00EA32AE">
        <w:rPr>
          <w:rFonts w:ascii="Times New Roman" w:eastAsia="Times New Roman" w:hAnsi="Times New Roman" w:cs="Times New Roman"/>
          <w:color w:val="auto"/>
          <w:sz w:val="28"/>
          <w:szCs w:val="28"/>
        </w:rPr>
        <w:lastRenderedPageBreak/>
        <w:t xml:space="preserve">Сложившаяся инфраструктура, ограниченность ресурсов и технологические возможности не позволяют также получать с каждого рубля активов более 1,6 рублей выручки от продаж, притом, что фактическая оборачиваемость активов и в отчетном году составляла 1,6. </w:t>
      </w:r>
    </w:p>
    <w:p w:rsidR="00515B26" w:rsidRPr="00EA32AE" w:rsidRDefault="00515B26" w:rsidP="00515B26">
      <w:pPr>
        <w:widowControl w:val="0"/>
        <w:autoSpaceDE w:val="0"/>
        <w:autoSpaceDN w:val="0"/>
        <w:adjustRightInd w:val="0"/>
        <w:jc w:val="both"/>
        <w:rPr>
          <w:rFonts w:ascii="Times New Roman" w:eastAsia="Times New Roman" w:hAnsi="Times New Roman" w:cs="Times New Roman"/>
          <w:color w:val="auto"/>
          <w:sz w:val="28"/>
          <w:szCs w:val="28"/>
        </w:rPr>
      </w:pPr>
      <w:r w:rsidRPr="00EA32AE">
        <w:rPr>
          <w:rFonts w:ascii="Times New Roman" w:eastAsia="Times New Roman" w:hAnsi="Times New Roman" w:cs="Times New Roman"/>
          <w:color w:val="auto"/>
          <w:sz w:val="28"/>
          <w:szCs w:val="28"/>
        </w:rPr>
        <w:t>Необходимо определить сумму заемных и привлеченных средств, которые позволят уже в следующем после отчетного году обеспечить решение поставленной акционерами задачи.</w:t>
      </w:r>
    </w:p>
    <w:p w:rsidR="00515B26" w:rsidRPr="006D6A7F" w:rsidRDefault="00515B26" w:rsidP="00515B26">
      <w:pPr>
        <w:widowControl w:val="0"/>
        <w:autoSpaceDE w:val="0"/>
        <w:autoSpaceDN w:val="0"/>
        <w:adjustRightInd w:val="0"/>
        <w:rPr>
          <w:rFonts w:ascii="Times New Roman" w:eastAsia="Times New Roman" w:hAnsi="Times New Roman" w:cs="Times New Roman"/>
          <w:b/>
          <w:color w:val="auto"/>
          <w:sz w:val="16"/>
          <w:szCs w:val="28"/>
        </w:rPr>
      </w:pPr>
    </w:p>
    <w:p w:rsidR="00515B26" w:rsidRPr="00EA32AE" w:rsidRDefault="00515B26" w:rsidP="00515B26">
      <w:pPr>
        <w:widowControl w:val="0"/>
        <w:autoSpaceDE w:val="0"/>
        <w:autoSpaceDN w:val="0"/>
        <w:adjustRightInd w:val="0"/>
        <w:rPr>
          <w:rFonts w:ascii="Times New Roman" w:eastAsia="Times New Roman" w:hAnsi="Times New Roman" w:cs="Times New Roman"/>
          <w:b/>
          <w:color w:val="auto"/>
          <w:sz w:val="28"/>
          <w:szCs w:val="28"/>
        </w:rPr>
      </w:pPr>
      <w:r w:rsidRPr="00EA32AE">
        <w:rPr>
          <w:rFonts w:ascii="Times New Roman" w:eastAsia="Times New Roman" w:hAnsi="Times New Roman" w:cs="Times New Roman"/>
          <w:b/>
          <w:color w:val="auto"/>
          <w:sz w:val="28"/>
          <w:szCs w:val="28"/>
        </w:rPr>
        <w:t>Задание 2.</w:t>
      </w:r>
    </w:p>
    <w:p w:rsidR="00515B26" w:rsidRPr="00EA32AE" w:rsidRDefault="00515B26" w:rsidP="00515B26">
      <w:pPr>
        <w:jc w:val="both"/>
        <w:rPr>
          <w:rFonts w:ascii="Times New Roman" w:eastAsia="Calibri" w:hAnsi="Times New Roman" w:cs="Times New Roman"/>
          <w:color w:val="auto"/>
          <w:sz w:val="28"/>
          <w:szCs w:val="28"/>
          <w:lang w:eastAsia="en-US"/>
        </w:rPr>
      </w:pPr>
      <w:r w:rsidRPr="00EA32AE">
        <w:rPr>
          <w:rFonts w:ascii="Times New Roman" w:eastAsia="Calibri" w:hAnsi="Times New Roman" w:cs="Times New Roman"/>
          <w:color w:val="auto"/>
          <w:sz w:val="28"/>
          <w:szCs w:val="28"/>
          <w:lang w:eastAsia="en-US"/>
        </w:rPr>
        <w:t xml:space="preserve">Опираясь на свое профессиональное суждение, проведите по десятибалльной шкале балльную экспертную оценку параметров «власть» и «интерес» перечисленных ниже </w:t>
      </w:r>
      <w:proofErr w:type="spellStart"/>
      <w:r w:rsidRPr="00EA32AE">
        <w:rPr>
          <w:rFonts w:ascii="Times New Roman" w:eastAsia="Calibri" w:hAnsi="Times New Roman" w:cs="Times New Roman"/>
          <w:color w:val="auto"/>
          <w:sz w:val="28"/>
          <w:szCs w:val="28"/>
          <w:lang w:eastAsia="en-US"/>
        </w:rPr>
        <w:t>стейкхолдеров</w:t>
      </w:r>
      <w:proofErr w:type="spellEnd"/>
      <w:r w:rsidRPr="00EA32AE">
        <w:rPr>
          <w:rFonts w:ascii="Times New Roman" w:eastAsia="Calibri" w:hAnsi="Times New Roman" w:cs="Times New Roman"/>
          <w:color w:val="auto"/>
          <w:sz w:val="28"/>
          <w:szCs w:val="28"/>
          <w:lang w:eastAsia="en-US"/>
        </w:rPr>
        <w:t xml:space="preserve"> промышленного предприятия. Определите степень влияния каждого из </w:t>
      </w:r>
      <w:proofErr w:type="spellStart"/>
      <w:r w:rsidRPr="00EA32AE">
        <w:rPr>
          <w:rFonts w:ascii="Times New Roman" w:eastAsia="Calibri" w:hAnsi="Times New Roman" w:cs="Times New Roman"/>
          <w:color w:val="auto"/>
          <w:sz w:val="28"/>
          <w:szCs w:val="28"/>
          <w:lang w:eastAsia="en-US"/>
        </w:rPr>
        <w:t>стейкхолдеров</w:t>
      </w:r>
      <w:proofErr w:type="spellEnd"/>
      <w:r w:rsidRPr="00EA32AE">
        <w:rPr>
          <w:rFonts w:ascii="Times New Roman" w:eastAsia="Calibri" w:hAnsi="Times New Roman" w:cs="Times New Roman"/>
          <w:color w:val="auto"/>
          <w:sz w:val="28"/>
          <w:szCs w:val="28"/>
          <w:lang w:eastAsia="en-US"/>
        </w:rPr>
        <w:t xml:space="preserve"> на это предприятие и расставьте приоритеты для учета их требований. Выявите </w:t>
      </w:r>
      <w:proofErr w:type="spellStart"/>
      <w:r w:rsidRPr="00EA32AE">
        <w:rPr>
          <w:rFonts w:ascii="Times New Roman" w:eastAsia="Calibri" w:hAnsi="Times New Roman" w:cs="Times New Roman"/>
          <w:color w:val="auto"/>
          <w:sz w:val="28"/>
          <w:szCs w:val="28"/>
          <w:lang w:eastAsia="en-US"/>
        </w:rPr>
        <w:t>стейкхолдеров</w:t>
      </w:r>
      <w:proofErr w:type="spellEnd"/>
      <w:r w:rsidRPr="00EA32AE">
        <w:rPr>
          <w:rFonts w:ascii="Times New Roman" w:eastAsia="Calibri" w:hAnsi="Times New Roman" w:cs="Times New Roman"/>
          <w:color w:val="auto"/>
          <w:sz w:val="28"/>
          <w:szCs w:val="28"/>
          <w:lang w:eastAsia="en-US"/>
        </w:rPr>
        <w:t xml:space="preserve">, которые потенциально могут оказаться в конфликтных ситуациях при выборе направлений стратегического развития данного предприятия. </w:t>
      </w:r>
    </w:p>
    <w:tbl>
      <w:tblPr>
        <w:tblW w:w="5000" w:type="pct"/>
        <w:tblLook w:val="04A0" w:firstRow="1" w:lastRow="0" w:firstColumn="1" w:lastColumn="0" w:noHBand="0" w:noVBand="1"/>
      </w:tblPr>
      <w:tblGrid>
        <w:gridCol w:w="5979"/>
        <w:gridCol w:w="1177"/>
        <w:gridCol w:w="1077"/>
        <w:gridCol w:w="1112"/>
      </w:tblGrid>
      <w:tr w:rsidR="00515B26" w:rsidRPr="006D6A7F" w:rsidTr="008237DF">
        <w:trPr>
          <w:trHeight w:val="300"/>
        </w:trPr>
        <w:tc>
          <w:tcPr>
            <w:tcW w:w="3199" w:type="pct"/>
            <w:tcBorders>
              <w:top w:val="single" w:sz="4" w:space="0" w:color="auto"/>
              <w:left w:val="single" w:sz="4" w:space="0" w:color="auto"/>
              <w:bottom w:val="single" w:sz="4" w:space="0" w:color="auto"/>
              <w:right w:val="single" w:sz="4" w:space="0" w:color="auto"/>
            </w:tcBorders>
            <w:shd w:val="clear" w:color="auto" w:fill="auto"/>
            <w:noWrap/>
          </w:tcPr>
          <w:p w:rsidR="00515B26" w:rsidRPr="006D6A7F" w:rsidRDefault="00515B26" w:rsidP="008237DF">
            <w:pPr>
              <w:spacing w:line="240" w:lineRule="auto"/>
              <w:ind w:firstLine="0"/>
              <w:jc w:val="center"/>
              <w:rPr>
                <w:rFonts w:ascii="Times New Roman" w:eastAsia="Calibri" w:hAnsi="Times New Roman" w:cs="Times New Roman"/>
                <w:lang w:eastAsia="en-US"/>
              </w:rPr>
            </w:pPr>
            <w:r w:rsidRPr="006D6A7F">
              <w:rPr>
                <w:rFonts w:ascii="Times New Roman" w:eastAsia="Calibri" w:hAnsi="Times New Roman" w:cs="Times New Roman"/>
                <w:lang w:eastAsia="en-US"/>
              </w:rPr>
              <w:t>Заинтересованные стороны</w:t>
            </w:r>
          </w:p>
        </w:tc>
        <w:tc>
          <w:tcPr>
            <w:tcW w:w="630" w:type="pct"/>
            <w:tcBorders>
              <w:top w:val="single" w:sz="4" w:space="0" w:color="auto"/>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Власть</w:t>
            </w:r>
          </w:p>
          <w:p w:rsidR="00515B26" w:rsidRPr="006D6A7F" w:rsidRDefault="00515B26" w:rsidP="008237DF">
            <w:pPr>
              <w:spacing w:line="240" w:lineRule="auto"/>
              <w:ind w:firstLine="0"/>
              <w:rPr>
                <w:rFonts w:ascii="Times New Roman" w:eastAsia="Calibri" w:hAnsi="Times New Roman" w:cs="Times New Roman"/>
                <w:lang w:eastAsia="en-US"/>
              </w:rPr>
            </w:pPr>
          </w:p>
        </w:tc>
        <w:tc>
          <w:tcPr>
            <w:tcW w:w="576" w:type="pct"/>
            <w:tcBorders>
              <w:top w:val="single" w:sz="4" w:space="0" w:color="auto"/>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Интерес</w:t>
            </w:r>
          </w:p>
          <w:p w:rsidR="00515B26" w:rsidRPr="006D6A7F" w:rsidRDefault="00515B26" w:rsidP="008237DF">
            <w:pPr>
              <w:spacing w:line="240" w:lineRule="auto"/>
              <w:ind w:firstLine="0"/>
              <w:rPr>
                <w:rFonts w:ascii="Times New Roman" w:eastAsia="Calibri" w:hAnsi="Times New Roman" w:cs="Times New Roman"/>
                <w:lang w:eastAsia="en-US"/>
              </w:rPr>
            </w:pPr>
          </w:p>
        </w:tc>
        <w:tc>
          <w:tcPr>
            <w:tcW w:w="595" w:type="pct"/>
            <w:tcBorders>
              <w:top w:val="single" w:sz="4" w:space="0" w:color="auto"/>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Влияние</w:t>
            </w:r>
          </w:p>
          <w:p w:rsidR="00515B26" w:rsidRPr="006D6A7F" w:rsidRDefault="00515B26" w:rsidP="008237DF">
            <w:pPr>
              <w:spacing w:line="240" w:lineRule="auto"/>
              <w:ind w:firstLine="0"/>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 xml:space="preserve">Владелец контрольного пакета акций </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Менеджмент организации</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Органы государственного управления и контроля</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Заказчики продукции</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Исполнительный персонал организации</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 xml:space="preserve">Акционеры – </w:t>
            </w:r>
            <w:proofErr w:type="spellStart"/>
            <w:r w:rsidRPr="006D6A7F">
              <w:rPr>
                <w:rFonts w:ascii="Times New Roman" w:eastAsia="Calibri" w:hAnsi="Times New Roman" w:cs="Times New Roman"/>
                <w:lang w:eastAsia="en-US"/>
              </w:rPr>
              <w:t>миноритарии</w:t>
            </w:r>
            <w:proofErr w:type="spellEnd"/>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Поставщики сырья и комплектующих изделий</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Кредитующий банк</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r w:rsidR="00515B26" w:rsidRPr="006D6A7F" w:rsidTr="008237DF">
        <w:trPr>
          <w:trHeight w:val="300"/>
        </w:trPr>
        <w:tc>
          <w:tcPr>
            <w:tcW w:w="3199" w:type="pct"/>
            <w:tcBorders>
              <w:top w:val="nil"/>
              <w:left w:val="single" w:sz="4" w:space="0" w:color="auto"/>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rPr>
                <w:rFonts w:ascii="Times New Roman" w:eastAsia="Calibri" w:hAnsi="Times New Roman" w:cs="Times New Roman"/>
                <w:lang w:eastAsia="en-US"/>
              </w:rPr>
            </w:pPr>
            <w:r w:rsidRPr="006D6A7F">
              <w:rPr>
                <w:rFonts w:ascii="Times New Roman" w:eastAsia="Calibri" w:hAnsi="Times New Roman" w:cs="Times New Roman"/>
                <w:lang w:eastAsia="en-US"/>
              </w:rPr>
              <w:t>Местное сообщество, СМИ и т.п.</w:t>
            </w:r>
          </w:p>
        </w:tc>
        <w:tc>
          <w:tcPr>
            <w:tcW w:w="630"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76"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c>
          <w:tcPr>
            <w:tcW w:w="595" w:type="pct"/>
            <w:tcBorders>
              <w:top w:val="nil"/>
              <w:left w:val="nil"/>
              <w:bottom w:val="single" w:sz="4" w:space="0" w:color="auto"/>
              <w:right w:val="single" w:sz="4" w:space="0" w:color="auto"/>
            </w:tcBorders>
            <w:shd w:val="clear" w:color="auto" w:fill="auto"/>
            <w:noWrap/>
            <w:vAlign w:val="bottom"/>
          </w:tcPr>
          <w:p w:rsidR="00515B26" w:rsidRPr="006D6A7F" w:rsidRDefault="00515B26" w:rsidP="008237DF">
            <w:pPr>
              <w:spacing w:line="240" w:lineRule="auto"/>
              <w:ind w:firstLine="0"/>
              <w:jc w:val="right"/>
              <w:rPr>
                <w:rFonts w:ascii="Times New Roman" w:eastAsia="Calibri" w:hAnsi="Times New Roman" w:cs="Times New Roman"/>
                <w:lang w:eastAsia="en-US"/>
              </w:rPr>
            </w:pPr>
          </w:p>
        </w:tc>
      </w:tr>
    </w:tbl>
    <w:p w:rsidR="00515B26" w:rsidRPr="00EA32AE" w:rsidRDefault="00515B26" w:rsidP="00515B26">
      <w:pPr>
        <w:widowControl w:val="0"/>
        <w:autoSpaceDE w:val="0"/>
        <w:autoSpaceDN w:val="0"/>
        <w:adjustRightInd w:val="0"/>
        <w:spacing w:line="480" w:lineRule="auto"/>
        <w:ind w:firstLine="0"/>
        <w:jc w:val="both"/>
        <w:rPr>
          <w:rFonts w:ascii="Times New Roman" w:eastAsia="Times New Roman" w:hAnsi="Times New Roman" w:cs="Times New Roman"/>
          <w:color w:val="auto"/>
          <w:sz w:val="28"/>
          <w:szCs w:val="28"/>
        </w:rPr>
      </w:pPr>
    </w:p>
    <w:p w:rsidR="00515B26" w:rsidRPr="00EA32AE" w:rsidRDefault="00515B26" w:rsidP="00515B26">
      <w:pPr>
        <w:widowControl w:val="0"/>
        <w:autoSpaceDE w:val="0"/>
        <w:autoSpaceDN w:val="0"/>
        <w:adjustRightInd w:val="0"/>
        <w:rPr>
          <w:rFonts w:ascii="Times New Roman" w:eastAsia="Times New Roman" w:hAnsi="Times New Roman" w:cs="Times New Roman"/>
          <w:b/>
          <w:color w:val="auto"/>
          <w:sz w:val="28"/>
          <w:szCs w:val="28"/>
        </w:rPr>
      </w:pPr>
      <w:r w:rsidRPr="00EA32AE">
        <w:rPr>
          <w:rFonts w:ascii="Times New Roman" w:eastAsia="Times New Roman" w:hAnsi="Times New Roman" w:cs="Times New Roman"/>
          <w:b/>
          <w:color w:val="auto"/>
          <w:sz w:val="28"/>
          <w:szCs w:val="28"/>
        </w:rPr>
        <w:t>Задание 3.</w:t>
      </w:r>
    </w:p>
    <w:p w:rsidR="00515B26" w:rsidRPr="00EA32AE" w:rsidRDefault="00515B26" w:rsidP="00515B26">
      <w:pPr>
        <w:widowControl w:val="0"/>
        <w:autoSpaceDE w:val="0"/>
        <w:autoSpaceDN w:val="0"/>
        <w:adjustRightInd w:val="0"/>
        <w:ind w:firstLine="708"/>
        <w:jc w:val="both"/>
        <w:rPr>
          <w:rFonts w:ascii="Times New Roman" w:eastAsia="Times New Roman" w:hAnsi="Times New Roman" w:cs="Times New Roman"/>
          <w:color w:val="auto"/>
          <w:sz w:val="28"/>
          <w:szCs w:val="28"/>
        </w:rPr>
      </w:pPr>
      <w:r w:rsidRPr="00EA32AE">
        <w:rPr>
          <w:rFonts w:ascii="Times New Roman" w:eastAsia="Times New Roman" w:hAnsi="Times New Roman" w:cs="Times New Roman"/>
          <w:color w:val="auto"/>
          <w:sz w:val="28"/>
          <w:szCs w:val="28"/>
        </w:rPr>
        <w:t xml:space="preserve">Производственное предприятие реализует свою продукцию по цене 15 тыс. руб. за единицу, однако основные потребители этой продукции, ориентируясь на конъюнктуру товарного рынка, требуют снижения цены до 12 тыс. руб. за единицу. Собственники и менеджмент этой компании </w:t>
      </w:r>
      <w:r w:rsidRPr="00EA32AE">
        <w:rPr>
          <w:rFonts w:ascii="Times New Roman" w:eastAsia="Times New Roman" w:hAnsi="Times New Roman" w:cs="Times New Roman"/>
          <w:color w:val="auto"/>
          <w:sz w:val="28"/>
          <w:szCs w:val="28"/>
        </w:rPr>
        <w:lastRenderedPageBreak/>
        <w:t>поставили цель - повысить при действующих ценах рентабельность продаж от фактических 11 % до 15 %. Однако для этого требуется снизить себестоимость единицы каждого изделия от фактических 13,3 тыс. руб. до 12,7 тыс. руб. При этом профсоюзная организация требует повышения среднемесячной заработной платы исполнительного персонала от 30 тыс. руб. минимум до 40 тыс. руб. Органы экологического надзора требуют соблюдения предельно допустимых концентраций вредных веществ в выбросах предприятия в атмосферу не свыше 0,05 мг/м</w:t>
      </w:r>
      <w:r w:rsidRPr="00EA32AE">
        <w:rPr>
          <w:rFonts w:ascii="Times New Roman" w:eastAsia="Times New Roman" w:hAnsi="Times New Roman" w:cs="Times New Roman"/>
          <w:color w:val="auto"/>
          <w:sz w:val="28"/>
          <w:szCs w:val="28"/>
          <w:vertAlign w:val="superscript"/>
        </w:rPr>
        <w:t>3</w:t>
      </w:r>
      <w:r w:rsidRPr="00EA32AE">
        <w:rPr>
          <w:rFonts w:ascii="Times New Roman" w:eastAsia="Times New Roman" w:hAnsi="Times New Roman" w:cs="Times New Roman"/>
          <w:color w:val="auto"/>
          <w:sz w:val="28"/>
          <w:szCs w:val="28"/>
        </w:rPr>
        <w:t>. Фактическая концентрация вредных веществ в выбросах составляет 0,009</w:t>
      </w:r>
      <w:r w:rsidRPr="00EA32AE">
        <w:rPr>
          <w:rFonts w:ascii="Times New Roman" w:eastAsia="Times New Roman" w:hAnsi="Times New Roman" w:cs="Times New Roman"/>
          <w:color w:val="auto"/>
          <w:sz w:val="28"/>
          <w:szCs w:val="28"/>
          <w:vertAlign w:val="superscript"/>
        </w:rPr>
        <w:t xml:space="preserve"> </w:t>
      </w:r>
      <w:r w:rsidRPr="00EA32AE">
        <w:rPr>
          <w:rFonts w:ascii="Times New Roman" w:eastAsia="Times New Roman" w:hAnsi="Times New Roman" w:cs="Times New Roman"/>
          <w:color w:val="auto"/>
          <w:sz w:val="28"/>
          <w:szCs w:val="28"/>
        </w:rPr>
        <w:t>мг/м</w:t>
      </w:r>
      <w:r w:rsidRPr="00EA32AE">
        <w:rPr>
          <w:rFonts w:ascii="Times New Roman" w:eastAsia="Times New Roman" w:hAnsi="Times New Roman" w:cs="Times New Roman"/>
          <w:color w:val="auto"/>
          <w:sz w:val="28"/>
          <w:szCs w:val="28"/>
          <w:vertAlign w:val="superscript"/>
        </w:rPr>
        <w:t>3</w:t>
      </w:r>
      <w:r w:rsidRPr="00EA32AE">
        <w:rPr>
          <w:rFonts w:ascii="Times New Roman" w:eastAsia="Times New Roman" w:hAnsi="Times New Roman" w:cs="Times New Roman"/>
          <w:color w:val="auto"/>
          <w:sz w:val="28"/>
          <w:szCs w:val="28"/>
        </w:rPr>
        <w:t>.</w:t>
      </w:r>
    </w:p>
    <w:p w:rsidR="00515B26" w:rsidRPr="00EA32AE" w:rsidRDefault="00515B26" w:rsidP="00515B26">
      <w:pPr>
        <w:widowControl w:val="0"/>
        <w:autoSpaceDE w:val="0"/>
        <w:autoSpaceDN w:val="0"/>
        <w:adjustRightInd w:val="0"/>
        <w:ind w:firstLine="708"/>
        <w:jc w:val="both"/>
        <w:rPr>
          <w:rFonts w:ascii="Times New Roman" w:eastAsia="Times New Roman" w:hAnsi="Times New Roman" w:cs="Times New Roman"/>
          <w:color w:val="auto"/>
          <w:sz w:val="28"/>
          <w:szCs w:val="28"/>
        </w:rPr>
      </w:pPr>
      <w:r w:rsidRPr="00EA32AE">
        <w:rPr>
          <w:rFonts w:ascii="Times New Roman" w:eastAsia="Times New Roman" w:hAnsi="Times New Roman" w:cs="Times New Roman"/>
          <w:color w:val="auto"/>
          <w:sz w:val="28"/>
          <w:szCs w:val="28"/>
        </w:rPr>
        <w:t>Охарактеризуйте степень недовыполнения требований различных заинтересованных сторон и сформулируйте бизнес-проблемы. Предложите меры по решению выявленных проблем.</w:t>
      </w:r>
    </w:p>
    <w:p w:rsidR="00515B26" w:rsidRPr="00EA32AE" w:rsidRDefault="00515B26" w:rsidP="00515B26">
      <w:pPr>
        <w:widowControl w:val="0"/>
        <w:autoSpaceDE w:val="0"/>
        <w:autoSpaceDN w:val="0"/>
        <w:adjustRightInd w:val="0"/>
        <w:spacing w:line="240" w:lineRule="auto"/>
        <w:ind w:firstLine="0"/>
        <w:jc w:val="both"/>
        <w:rPr>
          <w:rFonts w:ascii="Times New Roman" w:eastAsia="Times New Roman" w:hAnsi="Times New Roman" w:cs="Times New Roman"/>
          <w:b/>
          <w:color w:val="auto"/>
        </w:rPr>
      </w:pPr>
    </w:p>
    <w:p w:rsidR="00515B26" w:rsidRPr="00EA32AE" w:rsidRDefault="00515B26" w:rsidP="00515B26">
      <w:pPr>
        <w:widowControl w:val="0"/>
        <w:autoSpaceDE w:val="0"/>
        <w:autoSpaceDN w:val="0"/>
        <w:adjustRightInd w:val="0"/>
        <w:spacing w:line="240" w:lineRule="auto"/>
        <w:jc w:val="both"/>
        <w:rPr>
          <w:rFonts w:ascii="Times New Roman" w:eastAsia="Times New Roman" w:hAnsi="Times New Roman" w:cs="Times New Roman"/>
          <w:b/>
          <w:color w:val="auto"/>
          <w:sz w:val="28"/>
          <w:szCs w:val="28"/>
        </w:rPr>
      </w:pPr>
      <w:r w:rsidRPr="00EA32AE">
        <w:rPr>
          <w:rFonts w:ascii="Times New Roman" w:eastAsia="Times New Roman" w:hAnsi="Times New Roman" w:cs="Times New Roman"/>
          <w:b/>
          <w:color w:val="auto"/>
          <w:sz w:val="28"/>
          <w:szCs w:val="28"/>
        </w:rPr>
        <w:t>Задание 4.</w:t>
      </w:r>
    </w:p>
    <w:p w:rsidR="00515B26" w:rsidRPr="00EA32AE" w:rsidRDefault="00515B26" w:rsidP="00515B26">
      <w:pPr>
        <w:spacing w:line="240" w:lineRule="auto"/>
        <w:jc w:val="center"/>
        <w:rPr>
          <w:rFonts w:ascii="Times New Roman" w:hAnsi="Times New Roman" w:cs="Times New Roman"/>
          <w:iCs/>
          <w:sz w:val="28"/>
          <w:szCs w:val="28"/>
        </w:rPr>
      </w:pPr>
      <w:r w:rsidRPr="00EA32AE">
        <w:rPr>
          <w:rFonts w:ascii="Times New Roman" w:hAnsi="Times New Roman" w:cs="Times New Roman"/>
          <w:iCs/>
          <w:sz w:val="28"/>
          <w:szCs w:val="28"/>
        </w:rPr>
        <w:t>Данные для анализа (тыс. руб.)</w:t>
      </w:r>
    </w:p>
    <w:tbl>
      <w:tblPr>
        <w:tblW w:w="9204" w:type="dxa"/>
        <w:tblCellMar>
          <w:left w:w="0" w:type="dxa"/>
          <w:right w:w="0" w:type="dxa"/>
        </w:tblCellMar>
        <w:tblLook w:val="04A0" w:firstRow="1" w:lastRow="0" w:firstColumn="1" w:lastColumn="0" w:noHBand="0" w:noVBand="1"/>
      </w:tblPr>
      <w:tblGrid>
        <w:gridCol w:w="5093"/>
        <w:gridCol w:w="1276"/>
        <w:gridCol w:w="1418"/>
        <w:gridCol w:w="1417"/>
      </w:tblGrid>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8237DF">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515B26">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За 20</w:t>
            </w:r>
            <w:r>
              <w:rPr>
                <w:rFonts w:ascii="Times New Roman" w:hAnsi="Times New Roman" w:cs="Times New Roman"/>
                <w:b/>
                <w:bCs/>
              </w:rPr>
              <w:t>21</w:t>
            </w:r>
            <w:bookmarkStart w:id="2" w:name="_GoBack"/>
            <w:bookmarkEnd w:id="2"/>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6D6A7F" w:rsidRDefault="00515B26" w:rsidP="00515B26">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За 20</w:t>
            </w:r>
            <w:r>
              <w:rPr>
                <w:rFonts w:ascii="Times New Roman" w:hAnsi="Times New Roman" w:cs="Times New Roman"/>
                <w:b/>
                <w:bCs/>
              </w:rPr>
              <w:t>2</w:t>
            </w:r>
            <w:r>
              <w:rPr>
                <w:rFonts w:ascii="Times New Roman" w:hAnsi="Times New Roman" w:cs="Times New Roman"/>
                <w:b/>
                <w:bCs/>
              </w:rPr>
              <w:t>2</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6D6A7F" w:rsidRDefault="00515B26" w:rsidP="00515B26">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За 20</w:t>
            </w:r>
            <w:r>
              <w:rPr>
                <w:rFonts w:ascii="Times New Roman" w:hAnsi="Times New Roman" w:cs="Times New Roman"/>
                <w:b/>
                <w:bCs/>
              </w:rPr>
              <w:t>2</w:t>
            </w:r>
            <w:r>
              <w:rPr>
                <w:rFonts w:ascii="Times New Roman" w:hAnsi="Times New Roman" w:cs="Times New Roman"/>
                <w:b/>
                <w:bCs/>
              </w:rPr>
              <w:t>3</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8237DF">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1</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8237DF">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2</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8237DF">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3</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tcPr>
          <w:p w:rsidR="00515B26" w:rsidRPr="00EA32AE" w:rsidRDefault="00515B26" w:rsidP="008237DF">
            <w:pPr>
              <w:spacing w:line="240" w:lineRule="auto"/>
              <w:ind w:firstLine="0"/>
              <w:jc w:val="center"/>
              <w:rPr>
                <w:rFonts w:ascii="Times New Roman" w:eastAsia="Calibri" w:hAnsi="Times New Roman" w:cs="Times New Roman"/>
                <w:b/>
                <w:sz w:val="22"/>
                <w:szCs w:val="22"/>
                <w:lang w:eastAsia="en-US"/>
              </w:rPr>
            </w:pPr>
            <w:r w:rsidRPr="00EA32AE">
              <w:rPr>
                <w:rFonts w:ascii="Times New Roman" w:hAnsi="Times New Roman" w:cs="Times New Roman"/>
                <w:b/>
                <w:bCs/>
              </w:rPr>
              <w:t>5</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Денежные средства и финансовые вложения</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2378</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1133</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1031</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Дебиторская задолженность</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8584</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9673</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22077</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Запасы, НДС, прочие оборотные активы</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2635</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2905</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1873</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Оборотные активы, всего</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proofErr w:type="spellStart"/>
            <w:r w:rsidRPr="00EA32AE">
              <w:rPr>
                <w:rFonts w:ascii="Times New Roman" w:eastAsia="Calibri" w:hAnsi="Times New Roman" w:cs="Times New Roman"/>
                <w:bCs/>
                <w:color w:val="auto"/>
                <w:sz w:val="22"/>
                <w:szCs w:val="22"/>
                <w:lang w:eastAsia="en-US"/>
              </w:rPr>
              <w:t>Внеоборотные</w:t>
            </w:r>
            <w:proofErr w:type="spellEnd"/>
            <w:r w:rsidRPr="00EA32AE">
              <w:rPr>
                <w:rFonts w:ascii="Times New Roman" w:eastAsia="Calibri" w:hAnsi="Times New Roman" w:cs="Times New Roman"/>
                <w:bCs/>
                <w:color w:val="auto"/>
                <w:sz w:val="22"/>
                <w:szCs w:val="22"/>
                <w:lang w:eastAsia="en-US"/>
              </w:rPr>
              <w:t xml:space="preserve"> активы</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53252</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57949</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42014</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Активы всего</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Собственный капитал</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60004</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60789</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21806</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Заемный капитал</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Текущие обязательства</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6215</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9284</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40475</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Долгосрочные обязательства</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rPr>
                <w:rFonts w:ascii="Times New Roman" w:eastAsia="Calibri" w:hAnsi="Times New Roman" w:cs="Times New Roman"/>
                <w:sz w:val="22"/>
                <w:szCs w:val="22"/>
                <w:lang w:eastAsia="en-US"/>
              </w:rPr>
            </w:pP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Выручка от продаж</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17023</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14478</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8211</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Амортизация</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824</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773</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424</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Прибыль (убыток) до уплаты налогов и процентов</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6654</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4344</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301</w:t>
            </w:r>
          </w:p>
        </w:tc>
      </w:tr>
      <w:tr w:rsidR="00515B26" w:rsidRPr="00EA32AE" w:rsidTr="008237DF">
        <w:trPr>
          <w:trHeight w:val="20"/>
        </w:trPr>
        <w:tc>
          <w:tcPr>
            <w:tcW w:w="5093"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center"/>
          </w:tcPr>
          <w:p w:rsidR="00515B26" w:rsidRPr="00EA32AE" w:rsidRDefault="00515B26" w:rsidP="00515B26">
            <w:pPr>
              <w:numPr>
                <w:ilvl w:val="0"/>
                <w:numId w:val="4"/>
              </w:numPr>
              <w:tabs>
                <w:tab w:val="left" w:pos="284"/>
              </w:tabs>
              <w:spacing w:line="240" w:lineRule="auto"/>
              <w:ind w:left="0" w:firstLine="0"/>
              <w:contextualSpacing/>
              <w:rPr>
                <w:rFonts w:ascii="Times New Roman" w:eastAsia="Calibri" w:hAnsi="Times New Roman" w:cs="Times New Roman"/>
                <w:color w:val="auto"/>
                <w:sz w:val="22"/>
                <w:szCs w:val="22"/>
                <w:lang w:eastAsia="en-US"/>
              </w:rPr>
            </w:pPr>
            <w:r w:rsidRPr="00EA32AE">
              <w:rPr>
                <w:rFonts w:ascii="Times New Roman" w:eastAsia="Calibri" w:hAnsi="Times New Roman" w:cs="Times New Roman"/>
                <w:bCs/>
                <w:color w:val="auto"/>
                <w:sz w:val="22"/>
                <w:szCs w:val="22"/>
                <w:lang w:eastAsia="en-US"/>
              </w:rPr>
              <w:t>Чистая прибыль (убыток)</w:t>
            </w:r>
          </w:p>
        </w:tc>
        <w:tc>
          <w:tcPr>
            <w:tcW w:w="1276"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5105</w:t>
            </w:r>
          </w:p>
        </w:tc>
        <w:tc>
          <w:tcPr>
            <w:tcW w:w="1418"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3475</w:t>
            </w:r>
          </w:p>
        </w:tc>
        <w:tc>
          <w:tcPr>
            <w:tcW w:w="1417" w:type="dxa"/>
            <w:tcBorders>
              <w:top w:val="single" w:sz="8" w:space="0" w:color="000000"/>
              <w:left w:val="single" w:sz="8" w:space="0" w:color="000000"/>
              <w:bottom w:val="single" w:sz="8" w:space="0" w:color="000000"/>
              <w:right w:val="single" w:sz="8" w:space="0" w:color="000000"/>
            </w:tcBorders>
            <w:tcMar>
              <w:top w:w="18" w:type="dxa"/>
              <w:left w:w="18" w:type="dxa"/>
              <w:bottom w:w="0" w:type="dxa"/>
              <w:right w:w="18" w:type="dxa"/>
            </w:tcMar>
            <w:vAlign w:val="bottom"/>
          </w:tcPr>
          <w:p w:rsidR="00515B26" w:rsidRPr="00EA32AE" w:rsidRDefault="00515B26" w:rsidP="008237DF">
            <w:pPr>
              <w:spacing w:line="240" w:lineRule="auto"/>
              <w:ind w:firstLine="0"/>
              <w:jc w:val="center"/>
              <w:rPr>
                <w:rFonts w:ascii="Times New Roman" w:eastAsia="Calibri" w:hAnsi="Times New Roman" w:cs="Times New Roman"/>
                <w:sz w:val="22"/>
                <w:szCs w:val="22"/>
                <w:lang w:eastAsia="en-US"/>
              </w:rPr>
            </w:pPr>
            <w:r w:rsidRPr="00EA32AE">
              <w:rPr>
                <w:rFonts w:ascii="Times New Roman" w:hAnsi="Times New Roman" w:cs="Times New Roman"/>
                <w:bCs/>
              </w:rPr>
              <w:t>240</w:t>
            </w:r>
          </w:p>
        </w:tc>
      </w:tr>
    </w:tbl>
    <w:p w:rsidR="00515B26" w:rsidRDefault="00515B26" w:rsidP="00515B26">
      <w:pPr>
        <w:spacing w:line="276" w:lineRule="auto"/>
        <w:contextualSpacing/>
        <w:jc w:val="both"/>
        <w:rPr>
          <w:rFonts w:ascii="Times New Roman" w:eastAsia="Calibri" w:hAnsi="Times New Roman" w:cs="Times New Roman"/>
          <w:b/>
          <w:color w:val="auto"/>
          <w:sz w:val="28"/>
          <w:szCs w:val="28"/>
          <w:lang w:eastAsia="en-US"/>
        </w:rPr>
      </w:pPr>
    </w:p>
    <w:p w:rsidR="00515B26" w:rsidRPr="00EA32AE" w:rsidRDefault="00515B26" w:rsidP="00515B26">
      <w:pPr>
        <w:spacing w:line="276" w:lineRule="auto"/>
        <w:contextualSpacing/>
        <w:jc w:val="both"/>
        <w:rPr>
          <w:rFonts w:ascii="Times New Roman" w:eastAsia="Calibri" w:hAnsi="Times New Roman" w:cs="Times New Roman"/>
          <w:b/>
          <w:color w:val="auto"/>
          <w:sz w:val="28"/>
          <w:szCs w:val="28"/>
          <w:lang w:eastAsia="en-US"/>
        </w:rPr>
      </w:pPr>
      <w:r w:rsidRPr="00EA32AE">
        <w:rPr>
          <w:rFonts w:ascii="Times New Roman" w:eastAsia="Calibri" w:hAnsi="Times New Roman" w:cs="Times New Roman"/>
          <w:b/>
          <w:color w:val="auto"/>
          <w:sz w:val="28"/>
          <w:szCs w:val="28"/>
          <w:lang w:eastAsia="en-US"/>
        </w:rPr>
        <w:t>Требуется:</w:t>
      </w:r>
    </w:p>
    <w:p w:rsidR="00515B26" w:rsidRPr="00EA32AE" w:rsidRDefault="00515B26" w:rsidP="00515B26">
      <w:pPr>
        <w:spacing w:line="240" w:lineRule="auto"/>
        <w:contextualSpacing/>
        <w:jc w:val="both"/>
        <w:rPr>
          <w:rFonts w:ascii="Times New Roman" w:eastAsia="Calibri" w:hAnsi="Times New Roman" w:cs="Times New Roman"/>
          <w:b/>
          <w:color w:val="auto"/>
          <w:sz w:val="28"/>
          <w:szCs w:val="28"/>
          <w:lang w:eastAsia="en-US"/>
        </w:rPr>
      </w:pPr>
    </w:p>
    <w:p w:rsidR="00515B26" w:rsidRPr="00EA32AE" w:rsidRDefault="00515B26" w:rsidP="00515B26">
      <w:pPr>
        <w:numPr>
          <w:ilvl w:val="0"/>
          <w:numId w:val="5"/>
        </w:numPr>
        <w:tabs>
          <w:tab w:val="left" w:pos="1134"/>
        </w:tabs>
        <w:ind w:left="0" w:firstLine="709"/>
        <w:contextualSpacing/>
        <w:jc w:val="both"/>
        <w:rPr>
          <w:rFonts w:ascii="Times New Roman" w:eastAsia="Calibri" w:hAnsi="Times New Roman" w:cs="Times New Roman"/>
          <w:color w:val="auto"/>
          <w:sz w:val="28"/>
          <w:szCs w:val="28"/>
          <w:lang w:eastAsia="en-US"/>
        </w:rPr>
      </w:pPr>
      <w:r w:rsidRPr="00EA32AE">
        <w:rPr>
          <w:rFonts w:ascii="Times New Roman" w:eastAsia="Calibri" w:hAnsi="Times New Roman" w:cs="Times New Roman"/>
          <w:color w:val="auto"/>
          <w:sz w:val="28"/>
          <w:szCs w:val="28"/>
          <w:lang w:eastAsia="en-US"/>
        </w:rPr>
        <w:t>Рассчитать и заполнить все пропущенные строки (показатели).</w:t>
      </w:r>
    </w:p>
    <w:p w:rsidR="00515B26" w:rsidRPr="00EA32AE" w:rsidRDefault="00515B26" w:rsidP="00515B26">
      <w:pPr>
        <w:numPr>
          <w:ilvl w:val="0"/>
          <w:numId w:val="5"/>
        </w:numPr>
        <w:tabs>
          <w:tab w:val="left" w:pos="1134"/>
        </w:tabs>
        <w:ind w:left="0" w:firstLine="709"/>
        <w:contextualSpacing/>
        <w:jc w:val="both"/>
        <w:rPr>
          <w:rFonts w:ascii="Times New Roman" w:eastAsia="Calibri" w:hAnsi="Times New Roman" w:cs="Times New Roman"/>
          <w:color w:val="auto"/>
          <w:sz w:val="28"/>
          <w:szCs w:val="28"/>
          <w:lang w:eastAsia="en-US"/>
        </w:rPr>
      </w:pPr>
      <w:r w:rsidRPr="00EA32AE">
        <w:rPr>
          <w:rFonts w:ascii="Times New Roman" w:eastAsia="Calibri" w:hAnsi="Times New Roman" w:cs="Times New Roman"/>
          <w:color w:val="auto"/>
          <w:sz w:val="28"/>
          <w:szCs w:val="28"/>
          <w:lang w:eastAsia="en-US"/>
        </w:rPr>
        <w:t xml:space="preserve">На основании данных таблицы рассчитать </w:t>
      </w:r>
      <w:r w:rsidRPr="00EA32AE">
        <w:rPr>
          <w:rFonts w:ascii="Times New Roman" w:eastAsia="Calibri" w:hAnsi="Times New Roman" w:cs="Times New Roman"/>
          <w:bCs/>
          <w:color w:val="auto"/>
          <w:sz w:val="28"/>
          <w:szCs w:val="28"/>
          <w:lang w:eastAsia="en-US"/>
        </w:rPr>
        <w:t xml:space="preserve">все возможные показатели, характеризующие динамику финансовых коэффициентов </w:t>
      </w:r>
      <w:r w:rsidRPr="00EA32AE">
        <w:rPr>
          <w:rFonts w:ascii="Times New Roman" w:eastAsia="Calibri" w:hAnsi="Times New Roman" w:cs="Times New Roman"/>
          <w:bCs/>
          <w:color w:val="auto"/>
          <w:sz w:val="28"/>
          <w:szCs w:val="28"/>
          <w:lang w:eastAsia="en-US"/>
        </w:rPr>
        <w:lastRenderedPageBreak/>
        <w:t>организации и эффективность использования ресурсов и капитала, включая деловую активность, рентабельность и показатели вероятности банкротства.</w:t>
      </w:r>
    </w:p>
    <w:p w:rsidR="00515B26" w:rsidRPr="00907FF3" w:rsidRDefault="00515B26" w:rsidP="00515B26">
      <w:pPr>
        <w:tabs>
          <w:tab w:val="left" w:pos="993"/>
          <w:tab w:val="left" w:pos="1134"/>
        </w:tabs>
        <w:ind w:firstLine="0"/>
        <w:jc w:val="both"/>
      </w:pPr>
      <w:r w:rsidRPr="00EA32AE">
        <w:rPr>
          <w:rFonts w:ascii="Times New Roman" w:eastAsia="Calibri" w:hAnsi="Times New Roman" w:cs="Times New Roman"/>
          <w:color w:val="auto"/>
          <w:sz w:val="28"/>
          <w:szCs w:val="28"/>
          <w:lang w:eastAsia="en-US"/>
        </w:rPr>
        <w:t>Составить доклад для акционеров и подготовить рекомендации с учетом всей доступной информации.</w:t>
      </w:r>
    </w:p>
    <w:p w:rsidR="00515B26" w:rsidRDefault="00515B26"/>
    <w:sectPr w:rsidR="00515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72107"/>
    <w:multiLevelType w:val="multilevel"/>
    <w:tmpl w:val="772A0550"/>
    <w:styleLink w:val="WWNum33"/>
    <w:lvl w:ilvl="0">
      <w:start w:val="1"/>
      <w:numFmt w:val="decimal"/>
      <w:lvlText w:val="%1."/>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 w15:restartNumberingAfterBreak="0">
    <w:nsid w:val="4E677D60"/>
    <w:multiLevelType w:val="multilevel"/>
    <w:tmpl w:val="1C5673E8"/>
    <w:styleLink w:val="WWNum6"/>
    <w:lvl w:ilvl="0">
      <w:start w:val="1"/>
      <w:numFmt w:val="decimal"/>
      <w:lvlText w:val="%1."/>
      <w:lvlJc w:val="left"/>
      <w:pPr>
        <w:ind w:left="1069" w:hanging="360"/>
      </w:p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15:restartNumberingAfterBreak="0">
    <w:nsid w:val="50F87CA7"/>
    <w:multiLevelType w:val="hybridMultilevel"/>
    <w:tmpl w:val="D6147A9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68B237A6"/>
    <w:multiLevelType w:val="hybridMultilevel"/>
    <w:tmpl w:val="FDD2F5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D0"/>
    <w:rsid w:val="004F23D0"/>
    <w:rsid w:val="00515B26"/>
    <w:rsid w:val="005D7D0D"/>
    <w:rsid w:val="007D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0405"/>
  <w15:chartTrackingRefBased/>
  <w15:docId w15:val="{7C331047-452C-4731-A44E-3CFC2768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26"/>
    <w:pPr>
      <w:spacing w:after="0" w:line="360" w:lineRule="auto"/>
      <w:ind w:firstLine="709"/>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F23D0"/>
    <w:pPr>
      <w:suppressAutoHyphens/>
      <w:autoSpaceDN w:val="0"/>
      <w:textAlignment w:val="baseline"/>
    </w:pPr>
    <w:rPr>
      <w:rFonts w:ascii="Calibri" w:eastAsia="Calibri" w:hAnsi="Calibri" w:cs="Tahoma"/>
    </w:rPr>
  </w:style>
  <w:style w:type="paragraph" w:styleId="a3">
    <w:name w:val="List Paragraph"/>
    <w:aliases w:val="2 Спс точк,Имя Рисунка,List Paragraph"/>
    <w:basedOn w:val="Standard"/>
    <w:uiPriority w:val="34"/>
    <w:qFormat/>
    <w:rsid w:val="004F23D0"/>
    <w:pPr>
      <w:spacing w:after="15" w:line="384" w:lineRule="auto"/>
      <w:ind w:left="720" w:right="69" w:hanging="10"/>
      <w:jc w:val="both"/>
    </w:pPr>
    <w:rPr>
      <w:rFonts w:ascii="Times New Roman" w:eastAsia="Times New Roman" w:hAnsi="Times New Roman" w:cs="Times New Roman"/>
      <w:color w:val="000000"/>
      <w:sz w:val="28"/>
      <w:lang w:eastAsia="ru-RU"/>
    </w:rPr>
  </w:style>
  <w:style w:type="numbering" w:customStyle="1" w:styleId="WWNum33">
    <w:name w:val="WWNum33"/>
    <w:basedOn w:val="a2"/>
    <w:rsid w:val="004F23D0"/>
    <w:pPr>
      <w:numPr>
        <w:numId w:val="1"/>
      </w:numPr>
    </w:pPr>
  </w:style>
  <w:style w:type="character" w:customStyle="1" w:styleId="markedcontent">
    <w:name w:val="markedcontent"/>
    <w:basedOn w:val="a0"/>
    <w:rsid w:val="004F23D0"/>
  </w:style>
  <w:style w:type="numbering" w:customStyle="1" w:styleId="WWNum6">
    <w:name w:val="WWNum6"/>
    <w:basedOn w:val="a2"/>
    <w:rsid w:val="004F23D0"/>
    <w:pPr>
      <w:numPr>
        <w:numId w:val="3"/>
      </w:numPr>
    </w:pPr>
  </w:style>
  <w:style w:type="paragraph" w:styleId="a4">
    <w:name w:val="Balloon Text"/>
    <w:basedOn w:val="a"/>
    <w:link w:val="a5"/>
    <w:uiPriority w:val="99"/>
    <w:semiHidden/>
    <w:unhideWhenUsed/>
    <w:rsid w:val="005D7D0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7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 Николаенкова</dc:creator>
  <cp:keywords/>
  <dc:description/>
  <cp:lastModifiedBy>Светлана М. Николаенкова</cp:lastModifiedBy>
  <cp:revision>1</cp:revision>
  <cp:lastPrinted>2024-04-15T09:49:00Z</cp:lastPrinted>
  <dcterms:created xsi:type="dcterms:W3CDTF">2024-04-15T09:36:00Z</dcterms:created>
  <dcterms:modified xsi:type="dcterms:W3CDTF">2024-04-15T10:44:00Z</dcterms:modified>
</cp:coreProperties>
</file>